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Akademická zahrada záhon 12</text:h>
      <text:p text:style-name="Definition_20_Term_20_Tight">Název taxonu</text:p>
      <text:p text:style-name="Definition_20_Definition_20_Tight">Akademická zahrada záhon 12</text:p>
      <text:p text:style-name="Definition_20_Term_20_Tight">Vědecký název taxonu</text:p>
      <text:p text:style-name="Definition_20_Definition_20_Tight">Akademická zahrada záhon 12</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Popisné a identifikační znaky</text:h>
      <text:p text:style-name="Definition_20_Term_20_Tight">Habitus</text:p>
      <text:p text:style-name="Definition_20_Definition_20_Tight">Záhon se skládá ze tří menších segmentů, oddělených plůtkem Buxus microphylla. Prostředí segmentů záhonu je různě ovlivněno přítomností vzrůstných Pinus sylvestris, které ovlivňují jak světelné, tak vlhkostní podmínky jednotlivých ploch. Cílem výsadby bylo použít: a) některé kapradiny např. odnožující Gymnocarpidium dryopteris, do kterého jsou bodově nasázené Helleborus foetidus, Helleborus niger, Helleborus orientalis, Phylitis scolopendrium, Dryopteris sieboldii. b) pokryvné trvalky minimalizující následnou péči (např. Symphytum azureum, Pulmonaria ´Opal, Geranium sylvaticum, Hosta a jiné)</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