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Rulandske modre</text:h>
      <text:p text:style-name="Definition_20_Term_20_Tight">Název taxonu</text:p>
      <text:p text:style-name="Definition_20_Definition_20_Tight">Vitis vinifera Rulandske modre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´Rulandské modré´ (RM)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noir, Blauburgunder, Roučí modré, Burgundské modré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pocházející pravděpodobně z Francie; pravděpodobný kříženec ´Mlynářky´ a ´Tramínu červeného´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velké, okrouhlé, většinou třílaločnaté s mírnými až středně hlubokými horními výkroji, bazální výkroj je úzce otevřený, někdy překrytý; povrch listu je tmavě zelený, lehce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hrozen; bobule malá až středně velká, kulatá, tmavě modrá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a ´Rulandské šedé´ od kterých se liší barvou bobulí (modrá, ojíněná)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i příliš vlhké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růžového a červeného vína, sekty</text:p>
      <text:p text:style-name="Definition_20_Term_20_Tight">Choroby a škůdci</text:p>
      <text:p text:style-name="Definition_20_Definition_20_Tight">citlivá zejména na houbové choroby</text:p>
      <text:p text:style-name="Definition_20_Term_20_Tight">Plodnost</text:p>
      <text:p text:style-name="Definition_20_Definition_20_Tight">středně pozdní,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Odrůdy</text:p>
      <text:p text:style-name="Definition_20_Definition_20_Tight">klony PO-20, PO-22</text:p>
      <text:p text:style-name="Definition_20_Term_20_Tight">Popis vína</text:p>
      <text:p text:style-name="Definition_20_Definition_20_Tight">víno je světle granátové až cihlové barvy, chuti jemně hořkomandlové až po sušené švestky</text:p>
      <text:p text:style-name="Definition_20_Term_20_Tight">Doporučená technologie vína</text:p>
      <text:p text:style-name="Definition_20_Definition_20_Tight">jakostní a přívlastková červená vína, barrique,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6 let</text:p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TZfMTYzX1NvdG9sYXJfVml0aXNfdmluaWZlcmFfcnVsYW5kc2tlX21vZHJlX2hyb3plbjEuanBnIl1d?sha=123e457e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TZfNDI2X1NvdG9sYXJfVml0aXNfdmluaWZlcmFfcnVsYW5kc2tlX21vZHJlX2hyb3plbi5qcGciXV0?sha=c49af80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MTZfNjk3X1NvdG9sYXJfVml0aXNfdmluaWZlcmFfcnVsYW5kc2tlX21vZHJlX2xpc3QuanBnIl1d?sha=33a7fdd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