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Perlon</text:h>
      <text:p text:style-name="Definition_20_Term_20_Tight">Název taxonu</text:p>
      <text:p text:style-name="Definition_20_Definition_20_Tight">Vitis vinifera Perlon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´Perlon´ (Pe)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argentinskou odrůdu, vznikla křížením odrůd ´Emperor´ x ´Perletta´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bujnější růst</text:p>
      <text:p text:style-name="Definition_20_Term_20_Tight">Výhony</text:p>
      <text:p text:style-name="Definition_20_Definition_20_Tight">jednoleté réví je středně silné až silné, žlutohnědé, občas hůře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pětilaločnaté se středně hlubokými výkroji, řapíkový výkrojek je lyrovitý, otevřený; povrch listu je mírně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až velmi velký, kuželovitý, spíše hustý hrozen; bobule je středně velká, kulatá, růžovofialové barvy</text:p>
      <text:p text:style-name="Definition_20_Term_20_Tight">Semena</text:p>
      <text:p text:style-name="Definition_20_Definition_20_Tight">malá, rudimentální (bezsemenná)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méně vhodné jsou suché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bezsemenná odrůda - přímý konzum</text:p>
      <text:p text:style-name="Definition_20_Term_20_Tight">Choroby a škůdci</text:p>
      <text:p text:style-name="Definition_20_Definition_20_Tight">středně odolná k houbovým chorobám, citlivější k mrazu</text:p>
      <text:p text:style-name="Definition_20_Term_20_Tight">Plodnost</text:p>
      <text:p text:style-name="Definition_20_Definition_20_Tight">ranější, pravidelná (výnos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bílo růžové barvy,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MDhfNTMyX0JhYmlrb3ZhX1ZpdGlzX3ZpbmlmZXJhX3Blcmxvbl9saXN0LmpwZyJdXQ?sha=bb78382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MDhfODU5X0JhYmlrb3ZhX1ZpdGlzX3ZpbmlmZXJhX3Blcmxvbl9ocm96ZW4uanBnIl1d?sha=019c4f5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NfMDlfMTA2X0JhYmlrb3ZhX1ZpdGlzX3ZpbmlmZXJhX3Blcmxvbl92ZXJ0aWtvLmpwZyJdXQ?sha=ebfa722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NfMDlfMzU0X0JhYmlrb3ZhX1ZpdGlzX3ZpbmlmZXJhX3Blcmxvbl9jZWxrb3ZhLmpwZyJdXQ?sha=c2178a3d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