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Ctenanthe burle marxii</text:h>
      <text:p text:style-name="Definition_20_Term_20_Tight">Název taxonu</text:p>
      <text:p text:style-name="Definition_20_Definition_20_Tight">Ctenanthe burle marxii</text:p>
      <text:p text:style-name="Definition_20_Term_20_Tight">Vědecký název taxonu</text:p>
      <text:p text:style-name="Definition_20_Definition_20_Tight">Ctenanthe burle-marxii</text:p>
      <text:p text:style-name="Definition_20_Term_20_Tight">Jména autorů, kteří taxon popsali</text:p>
      <text:p text:style-name="Definition_20_Definition_20_Tight">
        <text:a xlink:type="simple" xlink:href="/taxon-authors/404" office:name="">
          <text:span text:style-name="Definition">H. Kennedy (1982)</text:span>
        </text:a>
      </text:p>
      <text:p text:style-name="Definition_20_Term_20_Tight">Odrůda</text:p>
      <text:p text:style-name="Definition_20_Definition_20_Tight">´Amagris´</text:p>
      <text:p text:style-name="Definition_20_Term_20_Tight">Synonyma (zahradnicky používaný název)</text:p>
      <text:p text:style-name="Definition_20_Definition_20_Tight">Stromanthe amabilis Hort. (nec Morren)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08" office:name="">
          <text:span text:style-name="Definition">Ctenanthe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(endemit v Espirito Santo)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formace mata atlantica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zhruba čtvrt metru vysoká, s dvouřadými, vejčitými, na řapících skloněnými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antitropní, pochvatě řapíkaté, asymetricky hrotnatě obvejčité, do 0.2 m dlouhé, shora bělavě zelené s temně zelenou srpovitě péřitou kresbou, vespod purpurové</text:p>
      <text:p text:style-name="Definition_20_Term_20_Tight">Květenství</text:p>
      <text:p text:style-name="Definition_20_Definition_20_Tight">krátké klasy s konduplikátně složenými, dvouřadě a dorsiventrálně seskládanými, plstnatými, bledě zelenými listeny a bílými květy</text:p>
      <text:p text:style-name="Definition_20_Term_20_Tight">Květy</text:p>
      <text:p text:style-name="Definition_20_Definition_20_Tight">oboupohlavné, asymetricky trojčetné, průsvitně bílé s krémově bílými petaloidními staminodiemi (plodná jen polovina jediné tyčinky)</text:p>
      <text:p text:style-name="Definition_20_Term_20_Tight">Plody</text:p>
      <text:p text:style-name="Definition_20_Definition_20_Tight">zelenavě pýřitá tobolka</text:p>
      <text:p text:style-name="Definition_20_Term_20_Tight">Semena</text:p>
      <text:p text:style-name="Definition_20_Definition_20_Tight">elipčitá, s bělavým arillem</text:p>
      <text:p text:style-name="Definition_20_Term_20_Tight">Možnost záměny taxonu (+ rozlišující rozhodný znak)</text:p>
      <text:p text:style-name="Definition_20_Definition_20_Tight">svérázný taxon, v kulturách přesto běžně zaměňovaný za nepodobné, přes metr vysoké Stromanthe amabilis E.Morr. (nověji přesouvané do rodu Ctenanthe)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často ještě opakované kvetení v červenci a srpnu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Pyricularia, Acremonium, Dictyochaeta, Rhinocladiella, Phialocephala, Tetraploa, Sporidesmiella); ze škůdců štítenky (Diaspis, Pulvinaria), roztoči (Steneotarsonemus),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24-36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odlámané z oddenku</text:p>
      <text:p text:style-name="Definition_20_Term_20_Tight">Mezihrnky</text:p>
      <text:p text:style-name="Definition_20_Definition_20_Tight">8-10 cm v případě přehrnkování do 14-16 cm hrnků k dopěstování velkých rostlin</text:p>
      <text:p text:style-name="Definition_20_Term_20_Tight">Konečné hrnky</text:p>
      <text:p text:style-name="Definition_20_Definition_20_Tight">zakořenělé oddělky do 10-12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(14-20 cm hrnky) až 18 měsíců</text:p>
      <text:p text:style-name="Definition_20_Term_20_Tight">Odrůdy</text:p>
      <text:p text:style-name="Definition_20_Definition_20_Tight">´Amagris´ s rozsáhlejší, bledě zelenou variegací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269 tis.prodaných hrnků Ctenanthe celk.(329 tis.eur) - 158. pozice mezi hrnkovými rostlinami; 2005: ještě 864 tis.prod.hrnků (1.01 mil.eur!), z toho 806 tis.rostlin C.burle-marxii (294 tis.hrnků ´Amagris)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Braga J.M.A. (1995): Uma nova combinacao no genero Stromanthe Sonder (Marantaceae). Eugeniana 21: 22-24. -- Prince L.M., Kress W.J. (2006): Phylogenetic relationships and classification in Marantaceae: insights from plastid DNA sequence data. Taxon 55 (2)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DdfOTUyX19VaGVyX0N0ZW5hbnRoZV9idXJsZV9tYXJ4aWlfbGlzdF9hZGF4aWFsLkpQRyJdXQ?sha=040d9bf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NDhfMzU4X19VaGVyX0N0ZW5hbnRoZV9idXJsZV9tYXJ4aWlfbGlzdF9hYmF4aWFsLkpQRyJdXQ?sha=ee6d405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NDhfNjM4X19VaGVyX0N0ZW5hbnRoZV9idXJsZV9tYXJ4aWkuSlBHIl1d?sha=feddac2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DEvMTlfMThfNDVfODk5X19VaGVyX0N0ZW5hbnRoZV9idXJsZV9tYXJ4aWlfQW1hZ3Jpc19saXN0X2FkYXhpYWwuSlBHIl1d?sha=50c1cda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