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Rumex acetosa</text:h>
      <text:p text:style-name="Definition_20_Term_20_Tight">Název taxonu</text:p>
      <text:p text:style-name="Definition_20_Definition_20_Tight">Rumex acetosa</text:p>
      <text:p text:style-name="Definition_20_Term_20_Tight">Vědecký název taxonu</text:p>
      <text:p text:style-name="Definition_20_Definition_20_Tight">Rumex acetosa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šťovík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9" office:name="">
          <text:span text:style-name="Definition">Rumex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Kvkaz, záp. a jižní Sibiř, Mongolsko, Himaláj, Čína</text:p>
      <text:h text:style-name="Heading_20_4" text:outline-level="4">Zařazení</text:h>
      <text:p text:style-name="Definition_20_Term_20_Tight">Pěstitelská skupina</text:p>
      <text:p text:style-name="Definition_20_Definition_20_Tight">Trvalka zatahující, Lusková zelenina a Léčivá a kořeninová rostlina</text:p>
      <text:p text:style-name="Definition_20_Term_20_Tight">Zařazení podle původu, nároků na pěstování a použití - poznámka</text:p>
      <text:p text:style-name="Definition_20_Definition_20_Tight">nenáročná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řapíkatých listů, květní lodyha až 1m, řídce olistěná přisedlými lístky</text:p>
      <text:p text:style-name="Definition_20_Term_20_Tight">Listy</text:p>
      <text:p text:style-name="Definition_20_Definition_20_Tight">listy řapíkaté, podlouhlé, střelovité, celokrajné; přízemní dlouze řapíkaté, horní krátce nebo přisedlé, objímavé střelovitými cípy</text:p>
      <text:p text:style-name="Definition_20_Term_20_Tight">Květenství</text:p>
      <text:p text:style-name="Definition_20_Definition_20_Tight">úzké řídké laty</text:p>
      <text:p text:style-name="Definition_20_Term_20_Tight">Květy</text:p>
      <text:p text:style-name="Definition_20_Definition_20_Tight">malé jednopohlavní, krovky 3,5-5 mm</text:p>
      <text:p text:style-name="Definition_20_Term_20_Tight">Plody</text:p>
      <text:p text:style-name="Definition_20_Definition_20_Tight">dvojnažky, světle hnědé až žlutavě nazelenalé</text:p>
      <text:p text:style-name="Definition_20_Term_20_Tight">Vytrvalost</text:p>
      <text:p text:style-name="Definition_20_Definition_20_Tight">trvalka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nenáročná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i na chudých půdách</text:p>
      <text:h text:style-name="Heading_20_4" text:outline-level="4">Užitné vlastnosti</text:h>
      <text:p text:style-name="Definition_20_Term_20_Tight">Použití</text:p>
      <text:p text:style-name="Definition_20_Definition_20_Tight">LAKR, listová zelenina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