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Cabanska perla</text:h>
      <text:p text:style-name="Definition_20_Term_20_Tight">Název taxonu</text:p>
      <text:p text:style-name="Definition_20_Definition_20_Tight">Vitis vinifera Cabanska perla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´Čabaňská perla´ (ČP)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Čabaňa, Csabagyöngye, Perle von Csaba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maďarská odrůda, vznikla křížením ´Madlenka raná´ x ´Muscat Fleur d’Oranger´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občas hůře vyzrávající</text:p>
      <text:p text:style-name="Definition_20_Term_20_Tight">Pupeny</text:p>
      <text:p text:style-name="Definition_20_Definition_20_Tight">menší, tupé</text:p>
      <text:p text:style-name="Definition_20_Term_20_Tight">Listy</text:p>
      <text:p text:style-name="Definition_20_Definition_20_Tight">malé až středně velké, okrouhlé, tří až pětilaločnaté s mírnými výkroji, bazální výkroj je lyrovitý, úzce otevřený; povrch listu je hladký, vespod lehce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 hrozen, kuželovitý, středně hustý; bobule je malá, kulatá až mírně oválná, lehce ojíněná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´Augustovskij´ (Čab.perla má spodní stranu listu lehce plstnatou)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nižší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4, T 8B i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nízká odolnost k houbovým chorobám, citlivá na mrazy, sprchává</text:p>
      <text:p text:style-name="Definition_20_Term_20_Tight">Plodnost</text:p>
      <text:p text:style-name="Definition_20_Definition_20_Tight">raná,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je masitá až chruplavá, sladká, příjemné muškátové chuti; víno je lehce muškátové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MThfNjUyX1NvdG9sYXJfVml0aXNfdmluaWZlcmFfY2FiYW5hX2xpc3QxLmpwZyJdXQ?sha=479555b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ThfOTYwX1NvdG9sYXJfVml0aXNfdmluaWZlcmFfY2FiYW5hX2hyb3plbi5qcGciXV0?sha=338ecbe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BfMTlfMjM4X1NvdG9sYXJfVml0aXNfdmluaWZlcmFfY2FiYW5hX2NlbGtvdmEuanBnIl1d?sha=01bc5ce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BfMTlfNDcyX1NvdG9sYXJfVml0aXNfdmluaWZlcmFfY2FiYW5hX2xpc3QuanBnIl1d?sha=64009e0f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