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´Bílý nádherný´</text:h>
      <text:p text:style-name="Definition_20_Term_20_Tight">Název taxonu</text:p>
      <text:p text:style-name="Definition_20_Definition_20_Tight">Grossularia uva crispa ´Bílý nádherný´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´Bílý nádherný´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Feinriechende Jungenbeere, Grűne Hansa, Hall's Seedling, Champagne Green, Chatanqua, Löwets Triumph, Lancashire Lass, Sir Sydney Smith, Triumph, Whitesmith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Velká Británie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hustý, kulovitý, 90 cm vysoký</text:p>
      <text:p text:style-name="Definition_20_Term_20_Tight">Pupeny</text:p>
      <text:p text:style-name="Definition_20_Definition_20_Tight">vejčitého až kuželovitého tvaru, větší i středně velké (průměrně 4-6 mm dlouhé), světle hnědé</text:p>
      <text:p text:style-name="Definition_20_Term_20_Tight">Listy</text:p>
      <text:p text:style-name="Definition_20_Definition_20_Tight">větší, vrásčitější, sytě zelené</text:p>
      <text:p text:style-name="Definition_20_Term_20_Tight">Květy</text:p>
      <text:p text:style-name="Definition_20_Definition_20_Tight">středně velké, pětičetné, oboupohlavné, korunní plátky širší, trojúhelníkovitého tvaru, bílé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bělavě zelené (někdy s červenohnědým líčkem), široce vejčité (8,5 g), oválné, matné, sladkokyselé, lysé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středně raná, polovina července</text:p>
      <text:h text:style-name="Heading_20_4" text:outline-level="4">Nároky na stanoviště</text:h>
      <text:p text:style-name="Definition_20_Term_20_Tight">Faktor tepla</text:p>
      <text:p text:style-name="Definition_20_Definition_20_Tight">odolná proti mrazu ve dřevě a v květu</text:p>
      <text:p text:style-name="Definition_20_Term_20_Tight">Faktor půdy</text:p>
      <text:p text:style-name="Definition_20_Definition_20_Tight">bez zvláštních nároků</text:p>
      <text:h text:style-name="Heading_20_4" text:outline-level="4">Agrotechnické vlastnosti a požadavky</text:h>
      <text:p text:style-name="Definition_20_Term_20_Tight">Řez</text:p>
      <text:p text:style-name="Definition_20_Definition_20_Tight">každý druhý rok se provádí prosvětlovací řez</text:p>
      <text:p text:style-name="Definition_20_Term_20_Tight">Podnož</text:p>
      <text:p text:style-name="Definition_20_Definition_20_Tight">meruzalka zlatá</text:p>
      <text:h text:style-name="Heading_20_4" text:outline-level="4">Užitné vlastnosti</text:h>
      <text:p text:style-name="Definition_20_Term_20_Tight">Použití</text:p>
      <text:p text:style-name="Definition_20_Definition_20_Tight">výroba pektinu, kompotů, džemů, marmelád; mrazení; přímý konzum</text:p>
      <text:p text:style-name="Definition_20_Term_20_Tight">Choroby a škůdci</text:p>
      <text:p text:style-name="Definition_20_Definition_20_Tight">středně odolná proti padlí a antraknóze</text:p>
      <text:p text:style-name="Definition_20_Term_20_Tight">Růstové i jiné druhově specifické vlastnosti</text:p>
      <text:p text:style-name="Definition_20_Definition_20_Tight">růst silný až střední</text:p>
      <text:p text:style-name="Definition_20_Term_20_Tight">Plodnost</text:p>
      <text:p text:style-name="Definition_20_Definition_20_Tight">nastupuje 3. rokem po výsadbě, vysoká, pravidelná (4,3-5,1 kg/strom)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Jedná se o standardní odrůdu angreštů. Je vhodná pro přímý konzum, na výrobu pektinu a na kompoty. Je nenáročná na půdu a polohu, velmi plodná, s jakostními plody. Pěstuje se v obou tvarech. Využívá se jak v tržních výsadbách, tak i v zahrádkách.</text:p>
      <text:h text:style-name="Heading_20_4" text:outline-level="4">Grafické přílohy</text:h>
      <text:p text:style-name="First_20_paragraph">
        <text:a xlink:type="simple" xlink:href="http://www.taxonweb.cz/media/W1siZiIsIjIwMTMvMDYvMTMvMDVfNDhfNTJfNDk3X2dvZ29sa292YV9Hcm9zc3VsYXJpYV91dmFfY3Jpc3BhX0JfbF9uX2RoZXJuX19wbG9keS5qcGciXV0?sha=562021d9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