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´Regina´</text:h>
      <text:p text:style-name="Definition_20_Term_20_Tight">Název taxonu</text:p>
      <text:p text:style-name="Definition_20_Definition_20_Tight">Prunus persica ´Regina´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´Regina´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Itálie, registrace 2005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polovzpřímená až rozložitá koruna</text:p>
      <text:p text:style-name="Definition_20_Term_20_Tight">Květy</text:p>
      <text:p text:style-name="Definition_20_Definition_20_Tight">růžovité</text:p>
      <text:p text:style-name="Definition_20_Term_20_Tight">Plody</text:p>
      <text:p text:style-name="Definition_20_Definition_20_Tight">středně velké, kruhovité, nesouměrné, slupka středně tlustá, plstnatá, silně přilnavá k dužnině, žlutá s celoplošně nanesenou tmavou červení téměř na celém povrchu plodu, dužnina žlutá (kolem pecky slabě načervenalá), středně tuhá, nevláknitá, sladkost střední až vysoká, kyselost střední, pecka neulpívá na dužnině</text:p>
      <text:h text:style-name="Heading_20_4" text:outline-level="4">Doba zrání</text:h>
      <text:p text:style-name="Definition_20_Term_20_Tight">Doba zrání - poznámka</text:p>
      <text:p text:style-name="Definition_20_Definition_20_Tight">pozdní broskev, zraje 10 dní po odrůdě ´Redhaven´</text:p>
      <text:h text:style-name="Heading_20_4" text:outline-level="4">Nároky na stanoviště</text:h>
      <text:p text:style-name="Definition_20_Term_20_Tight">Faktor půdy</text:p>
      <text:p text:style-name="Definition_20_Definition_20_Tight">půdy vyžaduje dobře zásobené živinami a vláhou</text:p>
      <text:h text:style-name="Heading_20_4" text:outline-level="4">Agrotechnické vlastnosti a požadavky</text:h>
      <text:p text:style-name="Definition_20_Term_20_Tight">Řez</text:p>
      <text:p text:style-name="Definition_20_Definition_20_Tight">nesnáší krátký řez (květní pupeny jsou převážně v horní polovině dlouhých výhonů)</text:p>
      <text:h text:style-name="Heading_20_4" text:outline-level="4">Užitné vlastnosti</text:h>
      <text:p text:style-name="Definition_20_Term_20_Tight">Použití</text:p>
      <text:p text:style-name="Definition_20_Definition_20_Tight">pro přímý konzum je třeba nechat je déle vyzrát na stromě</text:p>
      <text:p text:style-name="Definition_20_Term_20_Tight">Růstové i jiné druhově specifické vlastnosti</text:p>
      <text:p text:style-name="Definition_20_Definition_20_Tight">středně vzrůstná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MTZfNDczX2dvZ29sa292YV9QcnVudXNfcGVyc2ljYV9SZWdpbmFfX3Bsb2R5LmpwZyJdXQ?sha=ad2559a9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