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´Aprikose von Nancy´</text:h>
      <text:p text:style-name="Definition_20_Term_20_Tight">Název taxonu</text:p>
      <text:p text:style-name="Definition_20_Definition_20_Tight">Prunus armeniaca ´Aprikose von Nancy´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´Aprikose von Nancy´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Gros Peche, Apricot from Nancy, De Nancy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 koruna, vzrůstná až 2,4 m</text:p>
      <text:p text:style-name="Definition_20_Term_20_Tight">Květy</text:p>
      <text:p text:style-name="Definition_20_Definition_20_Tight">květy velké jako ´Velkopavlovická´, široceoválné,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zlatooranžové, navinule sladké, šťavnaté</text:p>
      <text:h text:style-name="Heading_20_4" text:outline-level="4">Doba zrání</text:h>
      <text:p text:style-name="Definition_20_Term_20_Tight">Doba zrání - poznámka</text:p>
      <text:p text:style-name="Definition_20_Definition_20_Tight">červenec až srpen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´St. Julien A´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konzum, džemy</text:p>
      <text:p text:style-name="Definition_20_Term_20_Tight">Plodnost</text:p>
      <text:p text:style-name="Definition_20_Definition_20_Tight">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dfNjQyX2dvZ29sa292YV9QcnVudXNfYXJtZW5pYWNhX0Fwcmlrb3NlX3Zvbl9OYW5jeV9fcGxvZHkuanBnIl1d?sha=85e11fa1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