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´The President´</text:h>
      <text:p text:style-name="Definition_20_Term_20_Tight">Název taxonu</text:p>
      <text:p text:style-name="Definition_20_Definition_20_Tight">Clematis ´The President´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´The President´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Anglie, 1876 - křízenec C. x Jackmanii x C. patens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2 - 3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modrofialové, se stříbrným rubem sepalů, prašníky červené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VIII-IX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přistínění kořenů</text:p>
      <text:p text:style-name="Definition_20_Term_20_Tight">Faktor tepla</text:p>
      <text:p text:style-name="Definition_20_Definition_20_Tight">mrazuvzdorný, jen v tuhých zimách bývají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bočních vyýhonech loňského dřeva, a na konci léta na vrcholech nových výhonů, proto na začátku jara ponechat jen silné výhony seříznuté k páru silných pupenů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TJfOTE0X01va3JpX2tvdl9rdl90X0NsZW1hdGlzVEhFUFJFU0lERU5ULmpwZy5qcGciXV0?sha=b7c9be85" office:name="">
          <text:span text:style-name="Definition">
            <draw:frame svg:width="293pt" svg:height="22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