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sede</text:h>
      <text:p text:style-name="Definition_20_Term_20_Tight">Název taxonu</text:p>
      <text:p text:style-name="Definition_20_Definition_20_Tight">Vitis vinifera Rulandske sede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šedé´ (RŠ)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gris, Burgunder grauer, Klevner, Burgundské šedé, Roučí šedé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starobylá odrůda, jde o pupenovou mutaci v rámci skupiny "Pinot" (snad z Rulandského modrého)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je úzce otevřený nebo překrytý;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hrozen, hustší, kompaktní; bobule kulatá, malá až středně velká, šedočervená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i ´Rulandské modré´ (šedá barva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hluboké půdy, spraše,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9-11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PO-V-2, PO-49/207, PO-67/32, PO-68/12, PO-68/28</text:p>
      <text:p text:style-name="Definition_20_Term_20_Tight">Popis vína</text:p>
      <text:p text:style-name="Definition_20_Definition_20_Tight">plné extraktivní bílé víno, aroma po chlebové kůrce, sladkých hruškách, karamelu i medu, mívá méně kyselin</text:p>
      <text:p text:style-name="Definition_20_Term_20_Tight">Doporučená technologie vína</text:p>
      <text:p text:style-name="Definition_20_Definition_20_Tight">jakostní a přívlastková bílá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TBfODJfU290b2xhcl9WaXRpc192aW5pZmVyYV9ydWxhbmRza2Vfc2VkZV9jZWxrb3ZhLmpwZyJdXQ?sha=307b42c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TBfNTgxX1NvdG9sYXJfVml0aXNfdmluaWZlcmFfcnVsYW5kc2tlX3NlZGVfY2Vsa292YTEuSlBHIl1d?sha=7e724ec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TFfNjBfU290b2xhcl9WaXRpc192aW5pZmVyYV9ydWxhbmRza2Vfc2VkZV9ocm96ZW5fMi5qcGciXV0?sha=dc18044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TFfNDczX1NvdG9sYXJfVml0aXNfdmluaWZlcmFfcnVsYW5kc2tlX3NlZGVfaHJvemVuLmpwZyJdXQ?sha=124f208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dfMTFfOTU3X1NvdG9sYXJfVml0aXNfdmluaWZlcmFfcnVsYW5kc2tlX3NlZGVfbGlzdC5qcGciXV0?sha=28f3de32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