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´Vecchioni´</text:h>
      <text:p text:style-name="Definition_20_Term_20_Tight">Název taxonu</text:p>
      <text:p text:style-name="Definition_20_Definition_20_Tight">Prunus armeniaca ´Vecchioni´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´Vecchioni´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rozložitá s tenkými větvemi</text:p>
      <text:p text:style-name="Definition_20_Term_20_Tight">Listy</text:p>
      <text:p text:style-name="Definition_20_Definition_20_Tight">oválné, jemně pilovité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velké, slupka žluto oranžová, dužnina oranžová</text:p>
      <text:h text:style-name="Heading_20_4" text:outline-level="4">Doba kvetení</text:h>
      <text:p text:style-name="Definition_20_Term_20_Tight">Doba kvetení - poznámka</text:p>
      <text:p text:style-name="Definition_20_Definition_20_Tight">březen, středně pozdní</text:p>
      <text:h text:style-name="Heading_20_4" text:outline-level="4">Doba zrání</text:h>
      <text:p text:style-name="Definition_20_Term_20_Tight">Doba zrání - poznámka</text:p>
      <text:p text:style-name="Definition_20_Definition_20_Tight">poslední dekáda července</text:p>
      <text:h text:style-name="Heading_20_4" text:outline-level="4">Agrotechnické vlastnosti a požadavky</text:h>
      <text:p text:style-name="Definition_20_Term_20_Tight">Řez</text:p>
      <text:p text:style-name="Definition_20_Definition_20_Tight">vhodný pravidelný řez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ZfMDZfMzk5X2dvZ29sa292YV9QcnVudXNfYXJtZW5pYWNhX1ZlY2NoaW9uaV9fcGxvZHkuanBnIl1d?sha=81da514c" office:name="">
          <text:span text:style-name="Definition">
            <draw:frame svg:width="180pt" svg:height="18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