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´Hameln´</text:h>
      <text:p text:style-name="Definition_20_Term_20_Tight">Název taxonu</text:p>
      <text:p text:style-name="Definition_20_Definition_20_Tight">Pennisetum alopecuroides ´Hameln´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´Hameln´</text:p>
      <text:p text:style-name="Definition_20_Term_20_Tight">Český název</text:p>
      <text:p text:style-name="Definition_20_Definition_20_Tight">dochan psárkovitý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od německého šlechtitele Fritz Junge (1978)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nižšího vzrůstu - v době květu vysoká přibližně 70 cm. Vytváří pravidelné, velmi husté, půlkulovité trsy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řídce olistěné, vzpřímené nebo mírně šikmo do vějíře uspořádaná</text:p>
      <text:p text:style-name="Definition_20_Term_20_Tight">Listy</text:p>
      <text:p text:style-name="Definition_20_Definition_20_Tight">jemné, šedozelené, obloukovitě ohnuté. Od X. se celé trsy zbarvují do žlutozelené až oranžově rezavé, špičky listů načervenalé.</text:p>
      <text:p text:style-name="Definition_20_Term_20_Tight">Květenství</text:p>
      <text:p text:style-name="Definition_20_Definition_20_Tight">těsně nad listy nebo mezi nimi. Válcovité lichoklasy poměrně malé, 8 - 9 cm dlouhé, s osinami 3,5 cm široké, nahnědlé. Květenství drží na rostlině dlouho do zimy.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