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Solidago x alexanderi</text:h>
      <text:p text:style-name="Definition_20_Term_20_Tight">Název taxonu</text:p>
      <text:p text:style-name="Definition_20_Definition_20_Tight">Solidago x alexanderi</text:p>
      <text:p text:style-name="Definition_20_Term_20_Tight">Vědecký název taxonu</text:p>
      <text:p text:style-name="Definition_20_Definition_20_Tight">Solidago</text:p>
      <text:p text:style-name="Definition_20_Term_20_Tight">Odrůda</text:p>
      <text:p text:style-name="Definition_20_Definition_20_Tight">´Strahlenkrone´</text:p>
      <text:p text:style-name="Definition_20_Term_20_Tight">Český název</text:p>
      <text:p text:style-name="Definition_20_Definition_20_Tight">zlatobýl zkřížený</text:p>
      <text:p text:style-name="Definition_20_Term_20_Tight">Synonyma (zahradnicky používaný název)</text:p>
      <text:p text:style-name="Definition_20_Definition_20_Tight">Solidago x hybrida Hort. (nom.illeg.)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549" office:name="">
          <text:span text:style-name="Definition">Echinacea simulata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oblast Skalistých hor (severozápad SA), oblast Sierra Madre (jihozápad SA) a Severoamerická atlantická oblast (východ SA)</text:p>
      <text:p text:style-name="Definition_20_Term_20_Tight">Biogeografické regiony - poznámka</text:p>
      <text:p text:style-name="Definition_20_Definition_20_Tight">zahradní hybrid - uvedené fytochoriony odpovídají rodičovským taxonům z podrodu Solidago (S. bicolor L. po celé severoamer.atlantické oblasti, S. gigantea L. a S. canadensis L. po celé Severní Americe od Quebecu a Severozápadních teritorií a Quebecu po Texas)</text:p>
      <text:h text:style-name="Heading_20_4" text:outline-level="4">Zařazení</text:h>
      <text:p text:style-name="Definition_20_Term_20_Tight">Fytocenologický původ</text:p>
      <text:p text:style-name="Definition_20_Definition_20_Tight">zahradní hybrid; rodičovské taxony rostou na sezónně zaplavovaných písčinách a pastvinách, na lesních mýtinách a narušených půdách (psammofyt, telmatofyt, helorgadofyt, chledofyt)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trsnatě rozbíhavá vzpřímená trvalka, 0.6-1.8 m vysoká</text:p>
      <text:p text:style-name="Definition_20_Term_20_Tight">Kořen</text:p>
      <text:p text:style-name="Definition_20_Definition_20_Tight">adventivní kořeny z podzemních oddenků</text:p>
      <text:p text:style-name="Definition_20_Term_20_Tight">Výhony</text:p>
      <text:p text:style-name="Definition_20_Definition_20_Tight">přímé, pýřité nebo olysávající, hustě olistěné</text:p>
      <text:p text:style-name="Definition_20_Term_20_Tight">Listy</text:p>
      <text:p text:style-name="Definition_20_Definition_20_Tight">střídavé, přes 0.1 m dlouhé, přisedle kopinaté, ostře zubaté, sytě zelené, shora slabě drsně pýřité nebo téměř lysé, nežláznaté</text:p>
      <text:p text:style-name="Definition_20_Term_20_Tight">Květenství</text:p>
      <text:p text:style-name="Definition_20_Definition_20_Tight">drobné úbory s 5-15 žlutými paprsky a méně než deseti kvítky disku, seskládané v bohatých pyramidálních latách</text:p>
      <text:p text:style-name="Definition_20_Term_20_Tight">Květy</text:p>
      <text:p text:style-name="Definition_20_Definition_20_Tight">různoobalné (kalichy přeměněny v šupiny a štětinky), srostloplátečné, pětičetné, haplostemonické - kvítky disku koleomorfní, oboupohlavné, žluté; paprsky souměrné, drobné, plodné (samičí), žluté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drobné okrové cylindrické nažky s přetrvávajícím štětinkatým chmýrem</text:p>
      <text:p text:style-name="Definition_20_Term_20_Tight">Semena</text:p>
      <text:p text:style-name="Definition_20_Definition_20_Tight">vysévány jsou celé nažky</text:p>
      <text:p text:style-name="Definition_20_Term_20_Tight">Možnost záměny taxonu (+ rozlišující rozhodný znak)</text:p>
      <text:p text:style-name="Definition_20_Definition_20_Tight">velmi proměnlivé hybridy zaměnitelné s rodičovskými taxony subsekce Triplinerviae - S. canadensis L. se stonky drsně pýřitými a S. gigantea Ait. (S. serotina Ait.) se stonky lysými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Září</text:p>
      <text:p text:style-name="Definition_20_Term_20_Tight">Doba kvetení - poznámka</text:p>
      <text:p text:style-name="Definition_20_Definition_20_Tight">množství odrůd kvetoucích v srpnu a září, od června jen ´Praecox´ a ´Goldwedel´; velmi pozdní ´Schwefelgeysir´ až do prvních marzů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v kulturách k řezu po výsadbě dlouhý den14 h 100-200 lux, poté krátkodenní cykly do 10 h (6-8 týdnů)</text:p>
      <text:p text:style-name="Definition_20_Term_20_Tight">Faktor tepla</text:p>
      <text:p text:style-name="Definition_20_Definition_20_Tight">mrazuvzdorná údajně do -28°C (USDA); teploty ve skleníkových kulturách po výsadbě 18°C/16°C</text:p>
      <text:p text:style-name="Definition_20_Term_20_Tight">Faktor vody</text:p>
      <text:p text:style-name="Definition_20_Definition_20_Tight">nezbytná instalace závlah (vysoké požadavky na živiny a vodu zejména v dubnu a květnu při elongaci květních stonků)</text:p>
      <text:p text:style-name="Definition_20_Term_20_Tight">Faktor půdy</text:p>
      <text:p text:style-name="Definition_20_Definition_20_Tight">přizpůsobivá v provzdušněných, spíše neutrálních (pH 6.0 - 7.5) půdách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 a Z - Záhon</text:p>
      <text:p text:style-name="Definition_20_Term_20_Tight">Použití - pro trvalky - poznámka</text:p>
      <text:p text:style-name="Definition_20_Definition_20_Tight">Opatrná (1982) doporučuje jako dobré všestranně použitelné odrůdy ´Strahlenkrone´, ´Spätgold´ a ´Leraft´; Hawke (2000) řadí Strahlenkrone k průměrným, lépe hodnotí nízké ´Goldkind´ a ´Baby Sun´, nejhůře pak ´Goldenmosa´ (ale AGM 1993 !) a ´Peter Pan´; sledované rodičovské taxony hodnoceny průměrně (S. gigantea) a podprůměrně.</text:p>
      <text:p text:style-name="Definition_20_Term_20_Tight">Použití</text:p>
      <text:p text:style-name="Definition_20_Definition_20_Tight">často pěstovány i k řezu květenství ve sklenících (viz VBN statistiky): z nejpěstovanějších ´Tara´, ´Tara Gold´, ´Golden Glory´, ´Strahlengold´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Doporučený spon pro výsadbu</text:p>
      <text:p text:style-name="Definition_20_Definition_20_Tight">v zapojených parkových výsadbách dle odrůdy 1-3 rostliny na m2; skleníkové zaštipované kultury k řezu květenství 28-32 rostlin na m2 (cyklus 22 týdnů),nezaštipované 48-60 rostlin na m2 (10 týdnů)</text:p>
      <text:h text:style-name="Heading_20_4" text:outline-level="4">Množení</text:h>
      <text:p text:style-name="Definition_20_Term_20_Tight">Množení</text:p>
      <text:p text:style-name="Definition_20_Definition_20_Tight">Předpěstování sadby, Vrcholové řízky, Dělení trsů a Množení oddělky</text:p>
      <text:p text:style-name="Definition_20_Term_20_Tight">Konečné hrnky</text:p>
      <text:p text:style-name="Definition_20_Definition_20_Tight">12 cm hrnky (6-8 týdenní kultivace), 16 cm kontejnery (8-12 týdenní kultivace do prodejeschopné velikosti)</text:p>
      <text:p text:style-name="Definition_20_Term_20_Tight">Retardace</text:p>
      <text:p text:style-name="Definition_20_Definition_20_Tight">ošetření paclobutrazolem zpožďuje kvetení</text:p>
      <text:p text:style-name="Definition_20_Term_20_Tight">Květní tvorba</text:p>
      <text:p text:style-name="Definition_20_Definition_20_Tight">dlouho-krátkodenní rostliny - 14 h den potřebný pro elongaci stonků a květní iniciaci (lze podpořit endogenními GA), 10-12 h den pro další vývin založených květenství</text:p>
      <text:p text:style-name="Definition_20_Term_20_Tight">Reakční doba</text:p>
      <text:p text:style-name="Definition_20_Definition_20_Tight">deset - dvanáct týdnů (pět - šest týdnů dlouhý den, poté krátký den)</text:p>
      <text:p text:style-name="Definition_20_Term_20_Tight">Doba kultivace</text:p>
      <text:p text:style-name="Definition_20_Definition_20_Tight">venkovní kultury k řezu nejvýše tři roky</text:p>
      <text:p text:style-name="Definition_20_Term_20_Tight">Odrůdy</text:p>
      <text:p text:style-name="Definition_20_Definition_20_Tight">množství odrůd lišících se výškou (kompaktní ´Goldrush´, ´Goldwedel´, ´Leraft´, ´Goldkind´, vysoké ´Goldcshleier´, ´Schwefelgeysir´,´Peter Pan´) morfologií květenství a raností (rané ´Praecox´, ´Strahlenkrone´ a ´Goldwedel´, pozdní ´Septembergold´, ´Schwefelgeysir´)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7" office:name="">
              <text:span text:style-name="Definition">O 23 b: záhon mezi panelovou cestou a pařeništi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´Strahlenkrone´: IV/2020</text:p>
      <text:p text:style-name="Definition_20_Term_20_Tight">Dodavatel</text:p>
      <text:p text:style-name="Definition_20_Definition_20_Tight">´Strahlenkrone´: Trvalky Semanín</text:p>
      <text:p text:style-name="Definition_20_Term_20_Tight">VBN statistiky</text:p>
      <text:p text:style-name="Definition_20_Definition_20_Tight">Prostřednictvím VBN je ročně prodáváno přes 50 milionů kvetoucích stonků Solidago (2010: 6 667 000 eur - 9. pozice mezi řezanými květinami). Kdysi významný "Solidaster" však mezi nejprodávanějšími pěti odrůdami, představujícími 97% obratu, dávno není.</text:p>
      <text:p text:style-name="Definition_20_Term_20_Tight">Poznámka</text:p>
      <text:p text:style-name="Definition_20_Definition_20_Tight">Hybridy jsou obecně označovány nelegitimním jménem S. hybrida Hort. (exaktně vzato náleží toto jméno hybridům typu Solidaster!) - z platně publikovaných jmen vyhovuje nejlépe S. alexanderi Moldenke (1937) pro předpokládané hybridy S. bicolor se S. gigantea nebo S. canadense.</text:p>
      <text:p text:style-name="Definition_20_Term">Odkazy</text:p>
      <text:list text:style-name="L2">
        <text:list-item>
          <text:p text:style-name="P2">Croat T. (1972): Solidago canadensis complex of the Great Plains. Brtittonia 24 (3): 317-326; Hawke R.G. (2000): An evaluation report of Goldenrods for the garden. Plant Evaluation Notes 15: 1-4, Chicago Botanic Garden; Opatrná M. (1982): Hodnocení svět</text:p>
        </text:list-item>
        <text:list-item>
          <text:p text:style-name="P2">SCHMIDT Cassian. Solidago fur den Garten (Teil 1). Wildes Gold. Gartenpraxis. Stuttgart: Eugen Ulmer. 2016, roč.42, č. 9, s. 8 - 15. ISSN 0341-2105.</text:p>
        </text:list-item>
        <text:list-item>
          <text:p text:style-name="P2">SCHMIDT Cassian. Solidago fur den Garten (Teil 2). Goldruten ganz handzahm. Gartenpraxis. Stuttgart: Eugen Ulmer. 2016, roč.42, č. 10 s. 8 - 15. ISSN 0341-2105.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TAvMjIvMThfMjVfMzVfNzE2X19VaGVyX1NvbGlkYWdvX3hfYWxleGFuZGVyaV9vX29kZHlfbGVrLkpQRyJdXQ?sha=2a92e0af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TAvMjIvMThfMjVfMzZfMTA2X19VaGVyX1NvbGlkYWdvX2dpZ2FudGVhLkpQRyJdXQ?sha=1994403c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TAvMjIvMThfMjVfMzZfNDMwX19VaGVyX1NvbGlkYWdvX3hfYWxleGFuZGVyaV9PX1Blcmtlb09fLkpQRyJdXQ?sha=065674be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TAvMjIvMThfMjVfMzZfNzI3X19VaGVyX1NvbGlkYWdvX3hfYWxleGFuZGVyaV9PX1N1cGVyc3Rhck9fLkpQRyJdXQ?sha=d861a3f3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TAvMjIvMThfMjVfMzdfNzVfX1VoZXJfU29saWRhZ29feF9hbGV4YW5kZXJpX09fTGVyYWZ0T18uSlBHIl1d?sha=51b34e08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TAvMjIvMThfMjVfMzdfMzk4X19VaGVyX1NvbGlkYWdvX2NhbmFkZW5zaXMuSlBHIl1d?sha=eb0aef5c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TAvMjIvMThfMjVfMzdfNzEzX19VaGVyX1NvbGlkYWdvX3hfYWxleGFuZGVyaV9PX0tlbnlhX0dvbGRPXy5KUEciXV0?sha=c1c9515e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TAvMjIvMThfMjVfMzhfMjdfX1VoZXJfU29saWRhZ29fYmljb2xvci5KUEciXV0?sha=3f10aa22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TAvMjIvMThfMjVfMzhfMzQzX19VaGVyX1NvbGlkYWdvX3hfYWxleGFuZGVyaV9PX0dvbGRlbm1vc2FPXy5KUEciXV0?sha=598cc08b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TMvMTAvMjIvMThfMjVfMzhfNjU4X19VaGVyX1NvbGlkYWdvX3hfYWxleGFuZGVyaV9PX1N0cmFobGVua3JvbmVPXy5KUEciXV0?sha=c1389ca0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