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´Flamingo´</text:h>
      <text:p text:style-name="Definition_20_Term_20_Tight">Název taxonu</text:p>
      <text:p text:style-name="Definition_20_Definition_20_Tight">Prunus persica ´Flamingo´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´Flamingo´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registrace 1991</text:p>
      <text:h text:style-name="Heading_20_4" text:outline-level="4">Zařazení</text:h>
      <text:p text:style-name="Definition_20_Term_20_Tight">Fytocenologický původ</text:p>
      <text:p text:style-name="Definition_20_Definition_20_Tight">kříženec 'Cresthaven' x 'Burbank July Elberta'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 až kulovitá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žlutomasé, velké, kulovité, slupka žlutá s červeným líčkem, dužnina je žlutá, šťavnatá, aromatická, sladce navinulá, dobře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dozrává 9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méně náročná na stanoviště, proti nízkým teplotám středně odolná</text:p>
      <text:p text:style-name="Definition_20_Term_20_Tight">Faktor půdy</text:p>
      <text:p text:style-name="Definition_20_Definition_20_Tight">půdy vyžaduje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zploštělé vřeteno</text:p>
      <text:p text:style-name="Definition_20_Term_20_Tight">Podnož</text:p>
      <text:p text:style-name="Definition_20_Definition_20_Tight">dle podmínek stanoviště lze použít všechny</text:p>
      <text:h text:style-name="Heading_20_4" text:outline-level="4">Užitné vlastnosti</text:h>
      <text:p text:style-name="Definition_20_Term_20_Tight">Použití</text:p>
      <text:p text:style-name="Definition_20_Definition_20_Tight">přímý konzum i průmyslové zpracování</text:p>
      <text:p text:style-name="Definition_20_Term_20_Tight">Choroby a škůdci</text:p>
      <text:p text:style-name="Definition_20_Definition_20_Tight">proti napadení kadeřavostí broskvoní středně odolná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Pozdní žlutomasá odrůda je vhodná do okrajových oblastí na chráněná stanoviště. Plody dosahují vynikající kvality. Plodí bohatě a pravidelně. Je velmi odolná podmínkám prostředí a málo náročná na pěstování.</text:p>
      <text:h text:style-name="Heading_20_4" text:outline-level="4">Grafické přílohy</text:h>
      <text:p text:style-name="First_20_paragraph">
        <text:a xlink:type="simple" xlink:href="http://www.taxonweb.cz/media/W1siZiIsIjIwMTMvMDYvMTMvMDZfMTBfMzNfMTlfZ29nb2xrb3ZhX1BydW51c19wZXJzaWNhX0ZsYW1pbmdvX19wbG9keS5qcGciXV0?sha=895cffeb" office:name="">
          <text:span text:style-name="Definition">
            <draw:frame svg:width="45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