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´Goldcot´</text:h>
      <text:p text:style-name="Definition_20_Term_20_Tight">Název taxonu</text:p>
      <text:p text:style-name="Definition_20_Definition_20_Tight">Prunus armeniaca ´Goldcot´</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´Goldcot´</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USA</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středně hustá, oválně kulovitá, letorosty jsou slabší, dlouhé, červenohnědé</text:p>
      <text:p text:style-name="Definition_20_Term_20_Tight">Listy</text:p>
      <text:p text:style-name="Definition_20_Definition_20_Tight">středně velké, pololesklé, jemně pilovité</text:p>
      <text:p text:style-name="Definition_20_Term_20_Tight">Květy</text:p>
      <text:p text:style-name="Definition_20_Definition_20_Tight">bílé s růžovým nádechem, středně velké, libovonné</text:p>
      <text:p text:style-name="Definition_20_Term_20_Tight">Opylovací poměry</text:p>
      <text:p text:style-name="Definition_20_Definition_20_Tight">Samosprašná</text:p>
      <text:p text:style-name="Definition_20_Term_20_Tight">Plody</text:p>
      <text:p text:style-name="Definition_20_Definition_20_Tight">střední velikosti, tvar je téměř kulatý, až oválný, slupka je pevná, středně silně plstnatá. Základní barva žlutá až oranžová, překrytá narůžovělým líčkem, dužnina pomerančově zbarvená, tužší konzistence, šťavnatá, chuť je osobitá, dobrá</text:p>
      <text:h text:style-name="Heading_20_4" text:outline-level="4">Doba kvetení</text:h>
      <text:p text:style-name="Definition_20_Term_20_Tight">Doba kvetení - poznámka</text:p>
      <text:p text:style-name="Definition_20_Definition_20_Tight">raná</text:p>
      <text:h text:style-name="Heading_20_4" text:outline-level="4">Doba zrání</text:h>
      <text:p text:style-name="Definition_20_Term_20_Tight">Doba zrání - poznámka</text:p>
      <text:p text:style-name="Definition_20_Definition_20_Tight">polovina července, 3 dny po ´Velkopavlovická´</text:p>
      <text:h text:style-name="Heading_20_4" text:outline-level="4">Nároky na stanoviště</text:h>
      <text:p text:style-name="Definition_20_Term_20_Tight">Faktor tepla</text:p>
      <text:p text:style-name="Definition_20_Definition_20_Tight">ve dřevě i v květu mrazuodolná, vhodná do všech meruňkových oblastí</text:p>
      <text:p text:style-name="Definition_20_Term_20_Tight">Faktor půdy</text:p>
      <text:p text:style-name="Definition_20_Definition_20_Tight">vyhovují hlinito-písčité půdy</text:p>
      <text:h text:style-name="Heading_20_4" text:outline-level="4">Užitné vlastnosti</text:h>
      <text:p text:style-name="Definition_20_Term_20_Tight">Použití</text:p>
      <text:p text:style-name="Definition_20_Definition_20_Tight">přímý konzum a kompotování</text:p>
      <text:p text:style-name="Definition_20_Term_20_Tight">Růstové i jiné druhově specifické vlastnosti</text:p>
      <text:p text:style-name="Definition_20_Definition_20_Tight">růst bujný</text:p>
      <text:p text:style-name="Definition_20_Term_20_Tight">Plodnost</text:p>
      <text:p text:style-name="Definition_20_Definition_20_Tight">pravidelná, vysoká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Grafické přílohy</text:h>
      <text:p text:style-name="First_20_paragraph">
        <text:a xlink:type="simple" xlink:href="http://www.taxonweb.cz/media/W1siZiIsIjIwMTMvMDYvMTMvMDZfMDhfNDlfODY1X2dvZ29sa292YV9QcnVudXNfYXJtZW5pYWNhX0dvbGRjb3RfX3Bsb2R5LmpwZyJdXQ?sha=c9aa7cda" office:name="">
          <text:span text:style-name="Definition">
            <draw:frame svg:width="259pt" svg:height="194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