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´Karola´</text:h>
      <text:p text:style-name="Definition_20_Term_20_Tight">Název taxonu</text:p>
      <text:p text:style-name="Definition_20_Definition_20_Tight">Prunus armeniaca ´Karola´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´Karola´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´VA-1A´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´Kloboucká raná´ x ´Velkopavlovická´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 užší, v plodnosti se rozkládá</text:p>
      <text:p text:style-name="Definition_20_Term_20_Tight">Listy</text:p>
      <text:p text:style-name="Definition_20_Definition_20_Tight">středně velké, kulovitě oválné, s prodlouženou špičkou, matně zelené</text:p>
      <text:p text:style-name="Definition_20_Term_20_Tight">Květy</text:p>
      <text:p text:style-name="Definition_20_Definition_20_Tight">středně velké, bílé, 1 pestík a 27 tyčinek v jednom květu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(40 g), kulovitě oválné, sytě oranžové, z větší části překryté červení, šťavnaté, nevláknité, velmi dobré chuti, atraktivní plody dobré kvality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10 dnů před odrůdou Velkopavlovická,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 v květu, nenáročná na stanoviště</text:p>
      <text:p text:style-name="Definition_20_Term_20_Tight">Faktor půdy</text:p>
      <text:p text:style-name="Definition_20_Definition_20_Tight">půdy vyžaduje zavlažované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obrostem, nižší čtvrtkmen</text:p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pro přímý konzum</text:p>
      <text:p text:style-name="Definition_20_Term_20_Tight">Choroby a škůdci</text:p>
      <text:p text:style-name="Definition_20_Definition_20_Tight">středně odolná proti houbovým chorobám, citlivá k hnědnutí listů</text:p>
      <text:p text:style-name="Definition_20_Term_20_Tight">Růstové i jiné druhově specifické vlastnosti</text:p>
      <text:p text:style-name="Definition_20_Definition_20_Tight">středně silně rostoucí</text:p>
      <text:p text:style-name="Definition_20_Term_20_Tight">Plodnost</text:p>
      <text:p text:style-name="Definition_20_Definition_20_Tight">brzká, velká,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VfODMzX2dvZ29sa292YV9QcnVudXNfYXJtZW5pYWNhX0thcm9sYV9fcGxvZHkuanBnIl1d?sha=6b096645" office:name="">
          <text:span text:style-name="Definition">
            <draw:frame svg:width="324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