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´Bergarouge´</text:h>
      <text:p text:style-name="Definition_20_Term_20_Tight">Název taxonu</text:p>
      <text:p text:style-name="Definition_20_Definition_20_Tight">Prunus armeniaca ´Bergarouge´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´Bergarouge´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křížením ´Goldrich´ x ´Bergeron´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velmi vzrůstná odrůda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velké (65 g), světle oranžové s výrazným červeným líčkem (40 % povrchu), pevné, chutné, s vysokým podílem cukrů a nízkým obsahem kyselin</text:p>
      <text:h text:style-name="Heading_20_4" text:outline-level="4">Doba zrání</text:h>
      <text:p text:style-name="Definition_20_Term_20_Tight">Doba zrání - poznámka</text:p>
      <text:p text:style-name="Definition_20_Definition_20_Tight">středně pozdní, zraje těsně po ´Velkopavlovická´, týden po ´Orange red´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DlfMTY0X2dvZ29sa292YV9QcnVudXNfYXJtZW5pYWNhX0Jlcmdhcm91Z2VfX3Bsb2R5LkpQRyJdXQ?sha=9eb5d096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DlfMjIxX2dvZ29sa292YV9QcnVudXNfYXJtZW5pYWNhX0Jlcmdhcm91Z2VfX3N0cm9tLkpQRyJdXQ?sha=0c7fcbd3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