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balsamina</text:h>
      <text:p text:style-name="Definition_20_Term_20_Tight">Název taxonu</text:p>
      <text:p text:style-name="Definition_20_Definition_20_Tight">Impatiens balsamina</text:p>
      <text:p text:style-name="Definition_20_Term_20_Tight">Vědecký název taxonu</text:p>
      <text:p text:style-name="Definition_20_Definition_20_Tight">Impatiens balsamina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´Karmínová´</text:p>
      <text:p text:style-name="Definition_20_Term_20_Tight">Český název</text:p>
      <text:p text:style-name="Definition_20_Definition_20_Tight">netýkavka balzamína</text:p>
      <text:p text:style-name="Definition_20_Term_20_Tight">Synonyma (zahradnicky používaný název)</text:p>
      <text:p text:style-name="Definition_20_Definition_20_Tight">Balsamina hortensis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camelliflora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z Indie do jihovýchodní Asie</text:p>
      <text:h text:style-name="Heading_20_4" text:outline-level="4">Zařazení</text:h>
      <text:p text:style-name="Definition_20_Term_20_Tight">Fytocenologický původ</text:p>
      <text:p text:style-name="Definition_20_Definition_20_Tight">tafrofyt, pelochtofyt, chledofyt - vlhká místa na otevřených lokalitách, často narušených, z podhůří do hor mezi 600-1200 m n.m.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přes půl metru vysoká,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jen při bázi větvené, spirálně olistěné</text:p>
      <text:p text:style-name="Definition_20_Term_20_Tight">Listy</text:p>
      <text:p text:style-name="Definition_20_Definition_20_Tight">hrotnatě elipčité, 0.1-0.2 m dlouhé s okraji vroubkovanými, lysé, svěže zelené, vespod bledé nebo načervenalé, na žláznatých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kratičkou ostruhu), rumělkové, karmínové, růžové, bílé; laterální petaly spojené a téměř shodné velikosti, dorsální veliký a obsrdčitý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masívní vřetenovité tobolky</text:p>
      <text:p text:style-name="Definition_20_Term_20_Tight">Semena</text:p>
      <text:p text:style-name="Definition_20_Definition_20_Tight">velká, oblá, matně hnědá (jen asi 100 zrn v gramu osiva)</text:p>
      <text:p text:style-name="Definition_20_Term_20_Tight">Možnost záměny taxonu (+ rozlišující rozhodný znak)</text:p>
      <text:p text:style-name="Definition_20_Definition_20_Tight">populace s jednoduchými květy zaměnitelné snad s I.balfourii Hook.f. (květy v 3-8 květých hroznech, s dlouhými přímými ostruhami)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24-48 klux, za dostatku vody toleruje plné slunce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1.4-2.8 mS/cm</text:p>
      <text:p text:style-name="Definition_20_Term_20_Tight">Faktor půdy - poznámka</text:p>
      <text:p text:style-name="Definition_20_Definition_20_Tight">při dostatku živin přizpůsobivá široké škále substrátů s kolísajícím pH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36-48 rostlin /m2; parkové výsadby 6-10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15-20 g osiva k dopěstování tisíce rostlin; také výsevy přímo na stanoviště od konce dubna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v devatenáctém století řada odrůd během válečných let ztracená; nyní často jen ve směsi, vzácně ještě ´Karmínová´, ´Růžová´ a ´Šarlatová´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TJfNjU3X19VaGVyX0ltcGF0aWVuc19iYWxmb3VyaWkuSlBHIl1d?sha=846b41a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TJfOTY4X19VaGVyX0ltcGF0aWVuc19iYWxzYW1pbmFfY2FtZWxsaWZsb3JhX1Jfb3ZfLkpQRyJdXQ?sha=d56cf9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NTNfMjc1X19VaGVyX0ltcGF0aWVuc19nbGFuZHVsaWZlcmEuSlBHIl1d?sha=9f6863c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NTNfNTg0X19VaGVyX0ltcGF0aWVuc19iYWxzYW1pbmEuSlBHIl1d?sha=dedf324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