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Brassica napus var. napobrassica</text:h>
      <text:p text:style-name="Definition_20_Term_20_Tight">Název taxonu</text:p>
      <text:p text:style-name="Definition_20_Definition_20_Tight">Brassica napus var. napobrassica</text:p>
      <text:p text:style-name="Definition_20_Term_20_Tight">Vědecký název taxonu</text:p>
      <text:p text:style-name="Definition_20_Definition_20_Tight">Brassica napus var. napobrassica</text:p>
      <text:p text:style-name="Definition_20_Term_20_Tight">Jména autorů, kteří taxon popsali</text:p>
      <text:p text:style-name="Definition_20_Definition_20_Tight">
        <text:a xlink:type="simple" xlink:href="/taxon-authors/718" office:name="">
          <text:span text:style-name="Definition">L., Rchb.</text:span>
        </text:a>
      </text:p>
      <text:p text:style-name="Definition_20_Term_20_Tight">Český název</text:p>
      <text:p text:style-name="Definition_20_Definition_20_Tight">tuřín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napobrassica</text:p>
      <text:p text:style-name="Definition_20_Term_20_Tight">Nadřazená kategorie</text:p>
      <text:p text:style-name="Definition_20_Definition_20_Tight">
        <text:a xlink:type="simple" xlink:href="/t/2118" office:name="">
          <text:span text:style-name="Definition">Brassica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 a Kořenová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kořen</text:p>
      <text:h text:style-name="Heading_20_4" text:outline-level="4">Popisné a identifikační znaky</text:h>
      <text:p text:style-name="Definition_20_Term_20_Tight">Habitus</text:p>
      <text:p text:style-name="Definition_20_Definition_20_Tight">vytváří přízemní listovou růžici</text:p>
      <text:p text:style-name="Definition_20_Term_20_Tight">Kořen</text:p>
      <text:p text:style-name="Definition_20_Definition_20_Tight">kulovitá nebo podlouhlá bulva bílé, žluté, nafialovělé barvy</text:p>
      <text:p text:style-name="Definition_20_Term_20_Tight">Květenství</text:p>
      <text:p text:style-name="Definition_20_Definition_20_Tight">květní lodyha 2 m vysoká</text:p>
      <text:p text:style-name="Definition_20_Term_20_Tight">Plody</text:p>
      <text:p text:style-name="Definition_20_Definition_20_Tight">šešule</text:p>
      <text:p text:style-name="Definition_20_Term_20_Tight">Semena</text:p>
      <text:p text:style-name="Definition_20_Definition_20_Tight">HTS 2,8 - 3,8 g</text:p>
      <text:p text:style-name="Definition_20_Term_20_Tight">Vytrvalost</text:p>
      <text:p text:style-name="Definition_20_Definition_20_Tight">dvouletý</text:p>
      <text:h text:style-name="Heading_20_4" text:outline-level="4">Doba kvetení</text:h>
      <text:p text:style-name="Definition_20_Term_20_Tight">Doba kvetení - poznámka</text:p>
      <text:p text:style-name="Definition_20_Definition_20_Tight">vykcete za 40 dní po výsadbě bulev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nenáročný na sluneční svit</text:p>
      <text:p text:style-name="Definition_20_Term_20_Tight">Faktor tepla</text:p>
      <text:p text:style-name="Definition_20_Definition_20_Tight">nenáročný na teplotu</text:p>
      <text:p text:style-name="Definition_20_Term_20_Tight">Faktor vody</text:p>
      <text:p text:style-name="Definition_20_Definition_20_Tight">nenáročný na vodu</text:p>
      <text:p text:style-name="Definition_20_Term_20_Tight">Faktor půdy</text:p>
      <text:p text:style-name="Definition_20_Definition_20_Tight">mělké i hlubší půdy, bramborářská oblast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mozaika květáku (Cauliflower mosaic virus - CaMV), virová mozaika vodnice (Turnip mosaic virus - TuMV), další choroby jako u košťálové zeleniny</text:p>
      <text:p text:style-name="Definition_20_Term_20_Tight">Doporučený spon pro výsadbu</text:p>
      <text:p text:style-name="Definition_20_Definition_20_Tight">0,5 - 0,75 x 0,3 - 0,4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