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Anthemis tinctoria</text:h>
      <text:p text:style-name="Definition_20_Term_20_Tight">Název taxonu</text:p>
      <text:p text:style-name="Definition_20_Definition_20_Tight">Anthemis tinctoria</text:p>
      <text:p text:style-name="Definition_20_Term_20_Tight">Vědecký název taxonu</text:p>
      <text:p text:style-name="Definition_20_Definition_20_Tight">Anthemis tinctoria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Rmen barvířský</text:p>
      <text:p text:style-name="Definition_20_Term_20_Tight">Synonyma (zahradnicky používaný název)</text:p>
      <text:p text:style-name="Definition_20_Definition_20_Tight">Cota tinctoria (L.) Gay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5" office:name="">
          <text:span text:style-name="Definition">Cota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Evropa, Altaj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0,3-0,8 m, řídke trsy</text:p>
      <text:p text:style-name="Definition_20_Term_20_Tight">Výhony</text:p>
      <text:p text:style-name="Definition_20_Definition_20_Tight">polovzpřímená lodyha je větvená v horní polovině</text:p>
      <text:p text:style-name="Definition_20_Term_20_Tight">Listy</text:p>
      <text:p text:style-name="Definition_20_Definition_20_Tight">peřenosečné, úkrojky úzké až čárkovité, zubaté, krátce plstnaté, našedlé, zelené, spodní lodyžní listy řapíkaté, listy v horní polovině lodyhy přisedlé</text:p>
      <text:p text:style-name="Definition_20_Term_20_Tight">Květenství</text:p>
      <text:p text:style-name="Definition_20_Definition_20_Tight">úbory jsou jednotlivé na koncích dlouhých větví, v průměru mají až 5 cm</text:p>
      <text:p text:style-name="Definition_20_Term_20_Tight">Květy</text:p>
      <text:p text:style-name="Definition_20_Definition_20_Tight">jazykovité květy jsou výrazně žluté, lůžko žluté</text:p>
      <text:p text:style-name="Definition_20_Term_20_Tight">Vytrvalost</text:p>
      <text:p text:style-name="Definition_20_Definition_20_Tight">dvouletý až víceletý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propustná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