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´Granát´</text:h>
      <text:p text:style-name="Definition_20_Term_20_Tight">Název taxonu</text:p>
      <text:p text:style-name="Definition_20_Definition_20_Tight">Rubus idaeus ´Granát´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´Granát´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´Lloyd George´x ´Pruská´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hustý</text:p>
      <text:p text:style-name="Definition_20_Term_20_Tight">Listy</text:p>
      <text:p text:style-name="Definition_20_Definition_20_Tight">lichozpeřené, pětičetné, velké, tmavě zelené</text:p>
      <text:p text:style-name="Definition_20_Term_20_Tight">Květenství</text:p>
      <text:p text:style-name="Definition_20_Definition_20_Tight">Květní stonky vyrůstají z paždí listů. Na jednom květním stonku jsou 2-4 květní pupeny, které směřují dolů. Počet květů v jediném květenství je 8-9.</text:p>
      <text:p text:style-name="Definition_20_Term_20_Tight">Květy</text:p>
      <text:p text:style-name="Definition_20_Definition_20_Tight">obojetné, pětičetné, drobné, korunní plátky malé, úzké,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velké (2,4-3,1 g), kulovité až protáhlé, sytě červené, tvarově vyrovnané, harmonicky sladké, aromatické, vysoká výtěžnost šťávy</text:p>
      <text:p text:style-name="Definition_20_Term_20_Tight">Možnost záměny taxonu (+ rozlišující rozhodný znak)</text:p>
      <text:p text:style-name="Definition_20_Definition_20_Tight">Vzpřímeně rostoucí výhony rudohhnědé barvy, kulovitý tvar plodů jasně červené zbarvených, charakteristická malinová chuť a aroma plodů, vysoká plodnost.</text:p>
      <text:h text:style-name="Heading_20_4" text:outline-level="4">Doba kvetení</text:h>
      <text:p text:style-name="Definition_20_Term_20_Tight">Doba kvetení - poznámka</text:p>
      <text:p text:style-name="Definition_20_Definition_20_Tight">od 26. května do 18.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polovina července</text:p>
      <text:h text:style-name="Heading_20_4" text:outline-level="4">Nároky na stanoviště</text:h>
      <text:p text:style-name="Definition_20_Term_20_Tight">Faktor světla</text:p>
      <text:p text:style-name="Definition_20_Definition_20_Tight">vyžaduje dostatek světla</text:p>
      <text:p text:style-name="Definition_20_Term_20_Tight">Faktor tepla</text:p>
      <text:p text:style-name="Definition_20_Definition_20_Tight">vhodná do všech oblastí vyjma extrémních</text:p>
      <text:p text:style-name="Definition_20_Term_20_Tight">Faktor vody</text:p>
      <text:p text:style-name="Definition_20_Definition_20_Tight">vyžaduje průměrné roční srážky minimálně 700 mm</text:p>
      <text:p text:style-name="Definition_20_Term_20_Tight">Faktor půdy</text:p>
      <text:p text:style-name="Definition_20_Definition_20_Tight">vyžaduje kypré, humusové a nesnáší zamokřené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není nutná opěrná konstrukce</text:p>
      <text:p text:style-name="Definition_20_Term_20_Tight">Řez</text:p>
      <text:p text:style-name="Definition_20_Definition_20_Tight">nutné odstraňování odrozeného dřeva a zakrácení jednoletých výhonů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houbovým chorobám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dobrým zdravotním stavem a vysokou výtěžností šťávy, není remontantní</text:p>
      <text:h text:style-name="Heading_20_4" text:outline-level="4">Grafické přílohy</text:h>
      <text:p text:style-name="First_20_paragraph">
        <text:a xlink:type="simple" xlink:href="http://www.taxonweb.cz/media/W1siZiIsIjIwMTMvMDYvMTMvMDZfMDNfMjJfNzMzX2dvZ29sa292YV9SdWJ1c19pZGFldXNfR3Jhbl90X19wbG9keS5qcGciXV0?sha=1c8a5014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