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´Jonkher van Teets´</text:h>
      <text:p text:style-name="Definition_20_Term_20_Tight">Název taxonu</text:p>
      <text:p text:style-name="Definition_20_Definition_20_Tight">Ribes rubrum ´Jonkher van Teets´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´Jonkheer van Tets´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Heinemannova neskorá, Macherauch´s Riesentraube, Grosseiller Raisin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Holandsko</text:p>
      <text:h text:style-name="Heading_20_4" text:outline-level="4">Zařazení</text:h>
      <text:p text:style-name="Definition_20_Term_20_Tight">Fytocenologický původ</text:p>
      <text:p text:style-name="Definition_20_Definition_20_Tight">křížení odrůd ´Fayův úrodný´ x ´Scotch´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polovzpřímený, středně hustý, 105 cm vysoký</text:p>
      <text:p text:style-name="Definition_20_Term_20_Tight">Listy</text:p>
      <text:p text:style-name="Definition_20_Definition_20_Tight">středně velké i menší, široké, sytě zelené, mírně zvlněné</text:p>
      <text:p text:style-name="Definition_20_Term_20_Tight">Květy</text:p>
      <text:p text:style-name="Definition_20_Definition_20_Tight">obojetné, pětičetné, talířovité, větší, zelenožluté, korunní plátky mají širší trojúhelníkovitý tvar, bělavě žlutou barvu, opylovací poměry dosud nebyly dobře probádány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delší hrozen, průměrně 7 bobulí/hrozen, sytě červené, šťavnaté, nakyslé, aromatické</text:p>
      <text:p text:style-name="Definition_20_Term_20_Tight">Možnost záměny taxonu (+ rozlišující rozhodný znak)</text:p>
      <text:p text:style-name="Definition_20_Definition_20_Tight">Zelený list se světle žlutohnědým zabarvením okraje v době rašení, větší, žlutohnědý květ, s načervenalou žilnatinou a raně zrající, kulovité a sytě červené bobule.</text:p>
      <text:h text:style-name="Heading_20_4" text:outline-level="4">Doba kvetení</text:h>
      <text:p text:style-name="Definition_20_Term_20_Tight">Doba kvetení - poznámka</text:p>
      <text:p text:style-name="Definition_20_Definition_20_Tight">raná, 21 dubna - 13. května</text:p>
      <text:h text:style-name="Heading_20_4" text:outline-level="4">Doba zrání</text:h>
      <text:p text:style-name="Definition_20_Term_20_Tight">Doba zrání - poznámka</text:p>
      <text:p text:style-name="Definition_20_Definition_20_Tight">velmi raná, konec června až začátek července</text:p>
      <text:h text:style-name="Heading_20_4" text:outline-level="4">Nároky na stanoviště</text:h>
      <text:p text:style-name="Definition_20_Term_20_Tight">Faktor tepla</text:p>
      <text:p text:style-name="Definition_20_Definition_20_Tight">málo mrazuodolná</text:p>
      <text:p text:style-name="Definition_20_Term_20_Tight">Faktor půdy</text:p>
      <text:p text:style-name="Definition_20_Definition_20_Tight">těžší, hlubší, živné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nejčastěji pravokořenný keř, také stromek</text:p>
      <text:p text:style-name="Definition_20_Term_20_Tight">Řez</text:p>
      <text:p text:style-name="Definition_20_Definition_20_Tight">zhruba po 8 letech vyžaduje hluboký zmlazovací řez</text:p>
      <text:h text:style-name="Heading_20_4" text:outline-level="4">Užitné vlastnosti</text:h>
      <text:p text:style-name="Definition_20_Term_20_Tight">Použití</text:p>
      <text:p text:style-name="Definition_20_Definition_20_Tight">šťávy, džemy, marmelády, pro zmrazení</text:p>
      <text:p text:style-name="Definition_20_Term_20_Tight">Choroby a škůdci</text:p>
      <text:p text:style-name="Definition_20_Definition_20_Tight">středně odolná proti antraknóze, ostatními chorobami netrpí</text:p>
      <text:p text:style-name="Definition_20_Term_20_Tight">Růstové i jiné druhově specifické vlastnosti</text:p>
      <text:p text:style-name="Definition_20_Definition_20_Tight">vzrůstnější</text:p>
      <text:p text:style-name="Definition_20_Term_20_Tight">Plodnost</text:p>
      <text:p text:style-name="Definition_20_Definition_20_Tight">do plodnosti nastupuje ve 4. roce po výsadbě, střední (3,5-6,5 kg/keř)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lfNDFfODAwX2dvZ29sa292YV9SaWJlc19ydWJydW1fSm9ua2hlcl92YW5fVGV0c19fcGxvZHkuanBnIl1d?sha=8ad71c83" office:name="">
          <text:span text:style-name="Definition">
            <draw:frame svg:width="266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