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´Veecot´</text:h>
      <text:p text:style-name="Definition_20_Term_20_Tight">Název taxonu</text:p>
      <text:p text:style-name="Definition_20_Definition_20_Tight">Prunus armeniaca ´Veecot´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´Veecot´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volné opylení ´Reliable´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vznosnější, s krátkým plodonosným obrostem</text:p>
      <text:p text:style-name="Definition_20_Term_20_Tight">Listy</text:p>
      <text:p text:style-name="Definition_20_Definition_20_Tight">střední až velké, téměř srdcovitého tvaru, pololesklé</text:p>
      <text:p text:style-name="Definition_20_Term_20_Tight">Květy</text:p>
      <text:p text:style-name="Definition_20_Definition_20_Tight">středně velké, korunní plátky okrouhlé, bílé, lehce narůžovělé,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střední až malé, kulovité, oranžové, lysé, z větší části překryté zářivou červení, méně šťavnaté, s osobitou příchutí, nejsou náchylné na otlačení, dobře se přepravují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5 dnů po odrůdě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p text:style-name="Definition_20_Term_20_Tight">Faktor půdy</text:p>
      <text:p text:style-name="Definition_20_Definition_20_Tight">málo náročná na polohy, 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zákrsek či čtvrtkmen s volně rostoucí patrovitou korunou</text:p>
      <text:p text:style-name="Definition_20_Term_20_Tight">Podnož</text:p>
      <text:p text:style-name="Definition_20_Definition_20_Tight">dle podmínek stanoviště lze využít všechny typy podnoží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středně odolná proti houbovým chorobám, středně rezistentní k šarce</text:p>
      <text:p text:style-name="Definition_20_Term_20_Tight">Plodnost</text:p>
      <text:p text:style-name="Definition_20_Definition_20_Tight">velká, pravidelná (při přeplození nutná probírka)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MTRfNjQzX2dvZ29sa292YV9QcnVudXNfYXJtZW5pYWNhX1ZlZWNvdF9fcGxvZHkuanBnIl1d?sha=13b7b2fa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