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Erilon</text:h>
      <text:p text:style-name="Definition_20_Term_20_Tight">Název taxonu</text:p>
      <text:p text:style-name="Definition_20_Definition_20_Tight">Vitis vinifera Erilon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´Erilon´ (Er)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L 3-9-25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českou odrůdu, vznikla křížením odrůd (´Frankovka´ x ´Cabernet Franc´) x (´Merlot´x ´Siebel 13666´)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šedohnědé,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velmi mělce pětilaločnaté až téměř celokrajné, bazální výkroj je lyrovitý, otevřený; povrch listu je tmavě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kuželovitě-válcovitý, středně hustý hrozen; bobule je středně velká, kulatá, zelenožlutá s hnědavým líčkem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lépe na dlouhý tažeň, snáší i krátký řez</text:p>
      <text:p text:style-name="Definition_20_Term_20_Tight">Podnož</text:p>
      <text:p text:style-name="Definition_20_Definition_20_Tight">Teleki 5 C, SO 4, CR 2 i Kober 125 AA, dle vedení a půdních podmínek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vyšší odolnost k houbovým chorobám, láká obaleče</text:p>
      <text:p text:style-name="Definition_20_Term_20_Tight">Plodnost</text:p>
      <text:p text:style-name="Definition_20_Definition_20_Tight">středně pozdní, pravidelná (výnos 8-14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velmi aromatické, připomínající Sauvignon svým ovocným až travnatě kopřivovým charakterem</text:p>
      <text:p text:style-name="Definition_20_Term_20_Tight">Doporučená technologie vína</text:p>
      <text:p text:style-name="Definition_20_Definition_20_Tight">jakostní i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NDlfNDEwX1NvdG9sYXJfVml0aXNfdmluaWZlcmFfZXJpbG9uX2hyb3plbi5qcGciXV0?sha=054000b5" office:name="">
          <text:span text:style-name="Definition">
            <draw:frame svg:width="230pt" svg:height="30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NDlfNjcyX1NvdG9sYXJfVml0aXNfdmluaWZlcmFfZXJpbG9uX2xpc3QuanBnIl1d?sha=e0bceb7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dfNDlfNzQxX1NvdG9sYXJfVml0aXNfdmluaWZlcmFfZXJpbG9uX2NlbGtvdmEuSlBHIl1d?sha=990fc365" office:name="">
          <text:span text:style-name="Definition">
            <draw:frame svg:width="237pt" svg:height="316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