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´Terno´</text:h>
      <text:p text:style-name="Definition_20_Term_20_Tight">Název taxonu</text:p>
      <text:p text:style-name="Definition_20_Definition_20_Tight">Grossularia uva crispa ´Terno´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´Terno´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středně hustý, strom: středně hustá, kulovitá koruna</text:p>
      <text:p text:style-name="Definition_20_Term_20_Tight">Plody</text:p>
      <text:p text:style-name="Definition_20_Definition_20_Tight">středně velké, elipsovité, žlutozelené,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července, středně raná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 a středně vlhké půdy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padlí</text:p>
      <text:p text:style-name="Definition_20_Term_20_Tight">Plodnost</text:p>
      <text:p text:style-name="Definition_20_Definition_20_Tight">dobrá,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pěstitelsky nenáročná odrůda</text:p>
      <text:h text:style-name="Heading_20_4" text:outline-level="4">Grafické přílohy</text:h>
      <text:p text:style-name="First_20_paragraph">
        <text:a xlink:type="simple" xlink:href="http://www.taxonweb.cz/media/W1siZiIsIjIwMTMvMDYvMTMvMDVfNTZfMjFfMzg0X2dvZ29sa292YV9Hcm9zc3VsYXJpYV91dmFfY3Jpc3BhX1Rlcm5vX19wbG9keS5qcGciXV0?sha=c57f0b2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